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A99" w:rsidRDefault="005B3A99" w:rsidP="005B3A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5</w:t>
      </w:r>
      <w:r w:rsidRPr="00D85DC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РЕЖИМЫ РАБОТЫ БИПОЛЯРНОГО ТРАНЗИСТОРА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A619A">
        <w:rPr>
          <w:rFonts w:ascii="Times New Roman" w:hAnsi="Times New Roman" w:cs="Times New Roman"/>
          <w:b/>
          <w:sz w:val="24"/>
          <w:szCs w:val="24"/>
        </w:rPr>
        <w:t xml:space="preserve"> СХЕМЫ ЗАМЕЩЕНИЯ.</w:t>
      </w:r>
    </w:p>
    <w:p w:rsidR="005B3A99" w:rsidRDefault="005B3A99" w:rsidP="005B3A9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B3A99">
        <w:rPr>
          <w:rFonts w:ascii="Times New Roman" w:hAnsi="Times New Roman" w:cs="Times New Roman"/>
          <w:i/>
          <w:sz w:val="24"/>
          <w:szCs w:val="24"/>
        </w:rPr>
        <w:t>Повторение:</w:t>
      </w:r>
      <w:r>
        <w:rPr>
          <w:rFonts w:ascii="Times New Roman" w:hAnsi="Times New Roman" w:cs="Times New Roman"/>
          <w:i/>
          <w:sz w:val="24"/>
          <w:szCs w:val="24"/>
        </w:rPr>
        <w:t xml:space="preserve"> Принцип работы транзисторов.</w:t>
      </w:r>
    </w:p>
    <w:p w:rsidR="005B3A99" w:rsidRDefault="005B3A99" w:rsidP="005B3A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3377591" wp14:editId="01A5E6B0">
            <wp:extent cx="3757114" cy="1543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0339" t="50258" r="27140" b="18683"/>
                    <a:stretch/>
                  </pic:blipFill>
                  <pic:spPr bwMode="auto">
                    <a:xfrm>
                      <a:off x="0" y="0"/>
                      <a:ext cx="3770997" cy="1548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3A99" w:rsidRDefault="005B3A99" w:rsidP="005B3A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Пусть на эмиттерный переход подано прямое напряжение, а на коллекторный – обратное. Под действием эмиттерного напряжения осуществляется инжекция дырок из эмиттера в область базы. Одновременно электроны базы проходят в область эмиттера. Возникает эмиттерный ток, который равен сумме дырочной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5B3A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и электро</w:t>
      </w:r>
      <w:r w:rsidRPr="005B3A99">
        <w:rPr>
          <w:rFonts w:ascii="Times New Roman" w:hAnsi="Times New Roman" w:cs="Times New Roman"/>
          <w:sz w:val="24"/>
          <w:szCs w:val="24"/>
        </w:rPr>
        <w:t>нной составляющих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5B3A9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5B3A99">
        <w:rPr>
          <w:rFonts w:ascii="Times New Roman" w:hAnsi="Times New Roman" w:cs="Times New Roman"/>
          <w:sz w:val="24"/>
          <w:szCs w:val="24"/>
        </w:rPr>
        <w:t>.</w:t>
      </w:r>
    </w:p>
    <w:p w:rsidR="0029253A" w:rsidRPr="005B3A99" w:rsidRDefault="001F3E0C" w:rsidP="005B3A99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э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э-р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э-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sub>
          </m:sSub>
        </m:oMath>
      </m:oMathPara>
    </w:p>
    <w:p w:rsidR="005B3A99" w:rsidRDefault="0029253A" w:rsidP="005B3A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Концентрация носителей заряда в базе значительно меньше, чем в эмиттере. Это приводит к тому, что число дырок, инжектированных из эмиттера в базу, во много раз превышает число электронов, движущихся в противоположном направлении. Следовательно, почти весь ток через эмиттерный переход обусловлен дырками. Эффективность </w:t>
      </w:r>
      <w:r w:rsidR="00932EFB">
        <w:rPr>
          <w:rFonts w:ascii="Times New Roman" w:hAnsi="Times New Roman" w:cs="Times New Roman"/>
          <w:sz w:val="24"/>
          <w:szCs w:val="24"/>
        </w:rPr>
        <w:t xml:space="preserve">эмиттера оценивается коэффициентом </w:t>
      </w:r>
      <w:r w:rsidR="00DE475D">
        <w:rPr>
          <w:rFonts w:ascii="Times New Roman" w:hAnsi="Times New Roman" w:cs="Times New Roman"/>
          <w:sz w:val="24"/>
          <w:szCs w:val="24"/>
        </w:rPr>
        <w:t>инжекции</w:t>
      </w:r>
      <w:r w:rsidR="00932EFB">
        <w:rPr>
          <w:rFonts w:ascii="Times New Roman" w:hAnsi="Times New Roman" w:cs="Times New Roman"/>
          <w:sz w:val="24"/>
          <w:szCs w:val="24"/>
        </w:rPr>
        <w:t>:</w:t>
      </w:r>
    </w:p>
    <w:p w:rsidR="00932EFB" w:rsidRPr="0029253A" w:rsidRDefault="007F1391" w:rsidP="005B3A99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γ=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э-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э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≈1(&lt;1)</m:t>
          </m:r>
        </m:oMath>
      </m:oMathPara>
    </w:p>
    <w:p w:rsidR="006B78A2" w:rsidRDefault="00DE475D" w:rsidP="00DE47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Дырки, попавшие в область базы, движутся к коллекторному переходу. В зависимости от механизма прохождения носителей заряда в базе различают бездрейфовые и дрейфовые транзисторы.</w:t>
      </w:r>
    </w:p>
    <w:p w:rsidR="00DE475D" w:rsidRDefault="00DE475D" w:rsidP="00DE475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бездрейфовых транзисторах перенос неосновных носителей заряда осуществляется за счет диффузии. В дрейфовых транзисторах в области базы путем соответствующего распределения примесей создается внутреннее электрическое поле и перенос неосновных носителей заряда через базу осуществляется в основном за счет дрейфа.</w:t>
      </w:r>
    </w:p>
    <w:p w:rsidR="00DE475D" w:rsidRDefault="00DE475D" w:rsidP="00DE475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Дырки в базе начинают рекомбинировать. Но рекомбинация – процесс не мгновенный. Поэтому почти все дырки успевают пройти через тонкий слой базы и достигнуть коллекторного перехода. Подойдя к коллектору, дырки начинают испытывать действие ускоряющего электрического поля коллекторного перехода, и они втягиваются в коллектор.</w:t>
      </w:r>
    </w:p>
    <w:p w:rsidR="004649A1" w:rsidRDefault="004649A1" w:rsidP="00DE475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Для оценки влияния рекомбинации носителей заряда в базе на усилительные свойства транзистора используют коэффициент переноса носителей в базе, который показывает, какая часть инжектированных эмиттером дырок достигает коллекторного перехода:</w:t>
      </w:r>
    </w:p>
    <w:p w:rsidR="004649A1" w:rsidRPr="004649A1" w:rsidRDefault="004649A1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δ=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к-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э-р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≈1(&lt;1)</m:t>
          </m:r>
        </m:oMath>
      </m:oMathPara>
    </w:p>
    <w:p w:rsidR="004649A1" w:rsidRDefault="004649A1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>Основным параметром транзистора является коэффициент передачи по току, который равен:</w:t>
      </w:r>
    </w:p>
    <w:p w:rsidR="004649A1" w:rsidRPr="004649A1" w:rsidRDefault="004649A1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α=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к-р</m:t>
                  </m:r>
                </m:sub>
              </m:sSub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э-р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4"/>
              <w:szCs w:val="24"/>
            </w:rPr>
            <m:t>=γ∙δ</m:t>
          </m:r>
        </m:oMath>
      </m:oMathPara>
    </w:p>
    <w:p w:rsidR="004649A1" w:rsidRDefault="004649A1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Обычно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α=0,95÷0,99</m:t>
        </m:r>
      </m:oMath>
    </w:p>
    <w:p w:rsidR="004649A1" w:rsidRDefault="00360284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цепи коллектора, кроме тока, обусловленного переходом дырок из базы в коллектор, протекает обратный ток коллекторного перехода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кб0</m:t>
            </m:r>
          </m:sub>
        </m:sSub>
      </m:oMath>
    </w:p>
    <w:p w:rsidR="00360284" w:rsidRPr="00360284" w:rsidRDefault="001F3E0C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к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=α∙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э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кб0</m:t>
              </m:r>
            </m:sub>
          </m:sSub>
        </m:oMath>
      </m:oMathPara>
    </w:p>
    <w:p w:rsidR="00360284" w:rsidRDefault="00360284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Ток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кб0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незначителен, поэтому можно записать</w:t>
      </w:r>
    </w:p>
    <w:p w:rsidR="00360284" w:rsidRPr="00360284" w:rsidRDefault="001F3E0C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к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≈α∙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э</m:t>
              </m:r>
            </m:sub>
          </m:sSub>
        </m:oMath>
      </m:oMathPara>
    </w:p>
    <w:p w:rsidR="00360284" w:rsidRDefault="00360284" w:rsidP="00DE475D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Из последнего выражения следует, что транзистор представляет собой управляемый прибор, т.к. значение его коллекторного тока зависит от значения тока эмиттера.</w:t>
      </w:r>
    </w:p>
    <w:p w:rsidR="00D870D8" w:rsidRDefault="00D870D8" w:rsidP="00D870D8">
      <w:pPr>
        <w:spacing w:after="0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870D8" w:rsidRPr="00D870D8" w:rsidRDefault="00D870D8" w:rsidP="00D870D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1BFE" w:rsidRDefault="00091BFE"/>
    <w:p w:rsidR="00507A1F" w:rsidRDefault="00507A1F"/>
    <w:p w:rsidR="00091BFE" w:rsidRDefault="00091BFE"/>
    <w:p w:rsidR="00091BFE" w:rsidRDefault="00091BFE"/>
    <w:p w:rsidR="00091BFE" w:rsidRDefault="00091BFE"/>
    <w:p w:rsidR="00091BFE" w:rsidRDefault="00091BFE"/>
    <w:p w:rsidR="00091BFE" w:rsidRDefault="00091BFE"/>
    <w:p w:rsidR="00091BFE" w:rsidRDefault="004A619A" w:rsidP="00091BFE">
      <w:pPr>
        <w:jc w:val="center"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091BFE">
        <w:rPr>
          <w:rStyle w:val="aa"/>
          <w:rFonts w:ascii="Times New Roman" w:hAnsi="Times New Roman" w:cs="Times New Roman"/>
          <w:color w:val="000000"/>
          <w:sz w:val="24"/>
          <w:szCs w:val="24"/>
        </w:rPr>
        <w:t>Схема замещения биполярного транзистора</w:t>
      </w:r>
    </w:p>
    <w:p w:rsidR="00091BFE" w:rsidRPr="006B78A2" w:rsidRDefault="00091BFE" w:rsidP="00091BFE">
      <w:pPr>
        <w:jc w:val="both"/>
        <w:rPr>
          <w:color w:val="000000"/>
          <w:sz w:val="27"/>
          <w:szCs w:val="27"/>
        </w:rPr>
      </w:pPr>
      <w:r>
        <w:rPr>
          <w:noProof/>
          <w:lang w:eastAsia="ru-RU"/>
        </w:rPr>
        <w:drawing>
          <wp:inline distT="0" distB="0" distL="0" distR="0" wp14:anchorId="5127CFBE" wp14:editId="7F598E67">
            <wp:extent cx="4416606" cy="1626919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995" t="18788" r="48804" b="59479"/>
                    <a:stretch/>
                  </pic:blipFill>
                  <pic:spPr bwMode="auto">
                    <a:xfrm>
                      <a:off x="0" y="0"/>
                      <a:ext cx="4451044" cy="1639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A619A">
        <w:rPr>
          <w:color w:val="000000"/>
          <w:sz w:val="27"/>
          <w:szCs w:val="27"/>
        </w:rPr>
        <w:br/>
      </w:r>
      <w:r w:rsidR="004A619A">
        <w:rPr>
          <w:color w:val="000000"/>
          <w:sz w:val="27"/>
          <w:szCs w:val="27"/>
        </w:rPr>
        <w:br/>
      </w:r>
      <w:r w:rsidR="004A619A" w:rsidRPr="00091BFE">
        <w:rPr>
          <w:rFonts w:ascii="Times New Roman" w:hAnsi="Times New Roman" w:cs="Times New Roman"/>
          <w:color w:val="000000"/>
          <w:sz w:val="24"/>
          <w:szCs w:val="24"/>
        </w:rPr>
        <w:t>Связь между входными и выходными токами и напряжениями в транзисторе, представленном в виде эквивалентного четырехполюсника, выражается системой уравнений электрического состояния:</w:t>
      </w:r>
      <w:r w:rsidR="004A619A" w:rsidRPr="00091BFE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noProof/>
          <w:lang w:eastAsia="ru-RU"/>
        </w:rPr>
        <w:lastRenderedPageBreak/>
        <w:drawing>
          <wp:inline distT="0" distB="0" distL="0" distR="0" wp14:anchorId="6CA43808" wp14:editId="73066B30">
            <wp:extent cx="1757548" cy="166335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995" t="51559" r="63053" b="15866"/>
                    <a:stretch/>
                  </pic:blipFill>
                  <pic:spPr bwMode="auto">
                    <a:xfrm>
                      <a:off x="0" y="0"/>
                      <a:ext cx="1777111" cy="16818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A619A">
        <w:rPr>
          <w:color w:val="000000"/>
          <w:sz w:val="27"/>
          <w:szCs w:val="27"/>
        </w:rPr>
        <w:br/>
      </w:r>
      <w:r>
        <w:rPr>
          <w:noProof/>
          <w:lang w:eastAsia="ru-RU"/>
        </w:rPr>
        <w:drawing>
          <wp:inline distT="0" distB="0" distL="0" distR="0" wp14:anchorId="6A3A2610" wp14:editId="5FDC772C">
            <wp:extent cx="4476307" cy="3871655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6836" t="12448" r="29978" b="5738"/>
                    <a:stretch/>
                  </pic:blipFill>
                  <pic:spPr bwMode="auto">
                    <a:xfrm>
                      <a:off x="0" y="0"/>
                      <a:ext cx="4536876" cy="39240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1BFE" w:rsidRDefault="00091BFE" w:rsidP="00091BFE">
      <w:pPr>
        <w:jc w:val="both"/>
        <w:rPr>
          <w:color w:val="000000"/>
          <w:sz w:val="27"/>
          <w:szCs w:val="27"/>
        </w:rPr>
      </w:pPr>
      <w:r>
        <w:rPr>
          <w:noProof/>
          <w:lang w:eastAsia="ru-RU"/>
        </w:rPr>
        <w:drawing>
          <wp:inline distT="0" distB="0" distL="0" distR="0" wp14:anchorId="752F90EB" wp14:editId="1B4F2689">
            <wp:extent cx="5307258" cy="1435395"/>
            <wp:effectExtent l="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6797" t="9957" r="29210" b="64072"/>
                    <a:stretch/>
                  </pic:blipFill>
                  <pic:spPr bwMode="auto">
                    <a:xfrm>
                      <a:off x="0" y="0"/>
                      <a:ext cx="5345945" cy="1445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1BFE" w:rsidRDefault="00091BFE" w:rsidP="00091BFE">
      <w:pPr>
        <w:jc w:val="both"/>
        <w:rPr>
          <w:color w:val="000000"/>
          <w:sz w:val="27"/>
          <w:szCs w:val="27"/>
        </w:rPr>
      </w:pPr>
      <w:r>
        <w:rPr>
          <w:noProof/>
          <w:lang w:eastAsia="ru-RU"/>
        </w:rPr>
        <w:drawing>
          <wp:inline distT="0" distB="0" distL="0" distR="0" wp14:anchorId="5A7ACA2B" wp14:editId="33AAC4B0">
            <wp:extent cx="5104947" cy="1435396"/>
            <wp:effectExtent l="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6797" t="37707" r="29210" b="35292"/>
                    <a:stretch/>
                  </pic:blipFill>
                  <pic:spPr bwMode="auto">
                    <a:xfrm>
                      <a:off x="0" y="0"/>
                      <a:ext cx="5140676" cy="1445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1BFE" w:rsidRDefault="00091BFE" w:rsidP="00091BFE">
      <w:pPr>
        <w:jc w:val="both"/>
        <w:rPr>
          <w:color w:val="000000"/>
          <w:sz w:val="27"/>
          <w:szCs w:val="27"/>
        </w:rPr>
      </w:pPr>
      <w:r>
        <w:rPr>
          <w:noProof/>
          <w:lang w:eastAsia="ru-RU"/>
        </w:rPr>
        <w:lastRenderedPageBreak/>
        <w:drawing>
          <wp:inline distT="0" distB="0" distL="0" distR="0" wp14:anchorId="7AFB326B" wp14:editId="0741B0F7">
            <wp:extent cx="5847295" cy="4449170"/>
            <wp:effectExtent l="0" t="0" r="127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6650" t="10187" r="29949" b="17549"/>
                    <a:stretch/>
                  </pic:blipFill>
                  <pic:spPr bwMode="auto">
                    <a:xfrm>
                      <a:off x="0" y="0"/>
                      <a:ext cx="5916599" cy="4501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54C7" w:rsidRDefault="003754C7" w:rsidP="00091BFE">
      <w:pPr>
        <w:jc w:val="both"/>
        <w:rPr>
          <w:color w:val="000000"/>
          <w:sz w:val="27"/>
          <w:szCs w:val="27"/>
        </w:rPr>
      </w:pPr>
    </w:p>
    <w:p w:rsidR="006B78A2" w:rsidRDefault="00FB5A0A" w:rsidP="00091BFE">
      <w:pPr>
        <w:jc w:val="both"/>
        <w:rPr>
          <w:color w:val="000000"/>
          <w:sz w:val="27"/>
          <w:szCs w:val="27"/>
        </w:rPr>
      </w:pPr>
      <w:r>
        <w:rPr>
          <w:noProof/>
          <w:lang w:eastAsia="ru-RU"/>
        </w:rPr>
        <w:drawing>
          <wp:inline distT="0" distB="0" distL="0" distR="0" wp14:anchorId="0F407551" wp14:editId="171D8912">
            <wp:extent cx="5940425" cy="33401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8A2" w:rsidRDefault="00FB5A0A" w:rsidP="00091BFE">
      <w:pPr>
        <w:jc w:val="both"/>
        <w:rPr>
          <w:color w:val="000000"/>
          <w:sz w:val="27"/>
          <w:szCs w:val="27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E998E33" wp14:editId="71AAB77F">
            <wp:extent cx="5940425" cy="334010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A0A" w:rsidRPr="006E20FF" w:rsidRDefault="00FB5A0A" w:rsidP="00091BFE">
      <w:pPr>
        <w:jc w:val="both"/>
        <w:rPr>
          <w:color w:val="000000"/>
          <w:sz w:val="27"/>
          <w:szCs w:val="27"/>
          <w:lang w:val="en-US"/>
        </w:rPr>
      </w:pPr>
    </w:p>
    <w:sectPr w:rsidR="00FB5A0A" w:rsidRPr="006E20FF">
      <w:headerReference w:type="default" r:id="rId14"/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E0C" w:rsidRDefault="001F3E0C" w:rsidP="004649A1">
      <w:pPr>
        <w:spacing w:after="0" w:line="240" w:lineRule="auto"/>
      </w:pPr>
      <w:r>
        <w:separator/>
      </w:r>
    </w:p>
  </w:endnote>
  <w:endnote w:type="continuationSeparator" w:id="0">
    <w:p w:rsidR="001F3E0C" w:rsidRDefault="001F3E0C" w:rsidP="00464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0937314"/>
      <w:docPartObj>
        <w:docPartGallery w:val="Page Numbers (Bottom of Page)"/>
        <w:docPartUnique/>
      </w:docPartObj>
    </w:sdtPr>
    <w:sdtEndPr/>
    <w:sdtContent>
      <w:p w:rsidR="008910AF" w:rsidRDefault="008910A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4100">
          <w:rPr>
            <w:noProof/>
          </w:rPr>
          <w:t>5</w:t>
        </w:r>
        <w:r>
          <w:fldChar w:fldCharType="end"/>
        </w:r>
      </w:p>
    </w:sdtContent>
  </w:sdt>
  <w:p w:rsidR="008910AF" w:rsidRDefault="008910A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E0C" w:rsidRDefault="001F3E0C" w:rsidP="004649A1">
      <w:pPr>
        <w:spacing w:after="0" w:line="240" w:lineRule="auto"/>
      </w:pPr>
      <w:r>
        <w:separator/>
      </w:r>
    </w:p>
  </w:footnote>
  <w:footnote w:type="continuationSeparator" w:id="0">
    <w:p w:rsidR="001F3E0C" w:rsidRDefault="001F3E0C" w:rsidP="00464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0AF" w:rsidRDefault="008910AF">
    <w:pPr>
      <w:pStyle w:val="a4"/>
    </w:pPr>
    <w:r>
      <w:t>Электроника</w:t>
    </w:r>
  </w:p>
  <w:p w:rsidR="008910AF" w:rsidRDefault="008910A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682D"/>
    <w:multiLevelType w:val="hybridMultilevel"/>
    <w:tmpl w:val="2C8A3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A99"/>
    <w:rsid w:val="00091BFE"/>
    <w:rsid w:val="000E13D7"/>
    <w:rsid w:val="00100292"/>
    <w:rsid w:val="001F3E0C"/>
    <w:rsid w:val="0029253A"/>
    <w:rsid w:val="0032255A"/>
    <w:rsid w:val="00360284"/>
    <w:rsid w:val="003754C7"/>
    <w:rsid w:val="003F101F"/>
    <w:rsid w:val="004649A1"/>
    <w:rsid w:val="004A619A"/>
    <w:rsid w:val="00507A1F"/>
    <w:rsid w:val="005B3A99"/>
    <w:rsid w:val="006B78A2"/>
    <w:rsid w:val="006E20FF"/>
    <w:rsid w:val="007F1391"/>
    <w:rsid w:val="008910AF"/>
    <w:rsid w:val="008E7406"/>
    <w:rsid w:val="00932EFB"/>
    <w:rsid w:val="00952711"/>
    <w:rsid w:val="00A105AB"/>
    <w:rsid w:val="00A74100"/>
    <w:rsid w:val="00AD6177"/>
    <w:rsid w:val="00D870D8"/>
    <w:rsid w:val="00DE475D"/>
    <w:rsid w:val="00FB5A0A"/>
    <w:rsid w:val="00FB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8E9C1-D072-4D64-8C96-52D14659A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A99"/>
  </w:style>
  <w:style w:type="paragraph" w:styleId="1">
    <w:name w:val="heading 1"/>
    <w:basedOn w:val="a"/>
    <w:link w:val="10"/>
    <w:uiPriority w:val="9"/>
    <w:qFormat/>
    <w:rsid w:val="006B78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9253A"/>
    <w:rPr>
      <w:color w:val="808080"/>
    </w:rPr>
  </w:style>
  <w:style w:type="paragraph" w:styleId="a4">
    <w:name w:val="header"/>
    <w:basedOn w:val="a"/>
    <w:link w:val="a5"/>
    <w:uiPriority w:val="99"/>
    <w:unhideWhenUsed/>
    <w:rsid w:val="00464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649A1"/>
  </w:style>
  <w:style w:type="paragraph" w:styleId="a6">
    <w:name w:val="footer"/>
    <w:basedOn w:val="a"/>
    <w:link w:val="a7"/>
    <w:uiPriority w:val="99"/>
    <w:unhideWhenUsed/>
    <w:rsid w:val="00464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649A1"/>
  </w:style>
  <w:style w:type="table" w:styleId="a8">
    <w:name w:val="Table Grid"/>
    <w:basedOn w:val="a1"/>
    <w:uiPriority w:val="39"/>
    <w:rsid w:val="00D87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870D8"/>
    <w:pPr>
      <w:ind w:left="720"/>
      <w:contextualSpacing/>
    </w:pPr>
  </w:style>
  <w:style w:type="character" w:styleId="aa">
    <w:name w:val="Strong"/>
    <w:basedOn w:val="a0"/>
    <w:uiPriority w:val="22"/>
    <w:qFormat/>
    <w:rsid w:val="004A619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B78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b">
    <w:name w:val="Hyperlink"/>
    <w:basedOn w:val="a0"/>
    <w:uiPriority w:val="99"/>
    <w:semiHidden/>
    <w:unhideWhenUsed/>
    <w:rsid w:val="00507A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31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5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15</cp:revision>
  <cp:lastPrinted>2018-01-16T05:58:00Z</cp:lastPrinted>
  <dcterms:created xsi:type="dcterms:W3CDTF">2018-01-03T06:52:00Z</dcterms:created>
  <dcterms:modified xsi:type="dcterms:W3CDTF">2018-02-10T15:38:00Z</dcterms:modified>
</cp:coreProperties>
</file>